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2D68">
      <w:pPr>
        <w:snapToGrid w:val="0"/>
        <w:spacing w:line="300" w:lineRule="auto"/>
        <w:jc w:val="center"/>
        <w:rPr>
          <w:rFonts w:hint="eastAsia" w:asciiTheme="minorEastAsia" w:hAnsiTheme="minorEastAsia" w:eastAsiaTheme="minorEastAsia"/>
          <w:bCs/>
          <w:sz w:val="30"/>
          <w:szCs w:val="30"/>
        </w:rPr>
      </w:pPr>
    </w:p>
    <w:p w14:paraId="6BDB372D">
      <w:pPr>
        <w:snapToGrid w:val="0"/>
        <w:spacing w:line="300" w:lineRule="auto"/>
        <w:jc w:val="center"/>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来穗人员随迁子女在广州市参加</w:t>
      </w:r>
      <w:r>
        <w:rPr>
          <w:rFonts w:asciiTheme="minorEastAsia" w:hAnsiTheme="minorEastAsia" w:eastAsiaTheme="minorEastAsia"/>
          <w:bCs/>
          <w:sz w:val="30"/>
          <w:szCs w:val="30"/>
        </w:rPr>
        <w:t>中考</w:t>
      </w:r>
      <w:r>
        <w:rPr>
          <w:rFonts w:hint="eastAsia" w:asciiTheme="minorEastAsia" w:hAnsiTheme="minorEastAsia" w:eastAsiaTheme="minorEastAsia"/>
          <w:bCs/>
          <w:sz w:val="30"/>
          <w:szCs w:val="30"/>
        </w:rPr>
        <w:t>资格告知书</w:t>
      </w:r>
    </w:p>
    <w:p w14:paraId="3AD96DB7">
      <w:pPr>
        <w:snapToGrid w:val="0"/>
        <w:spacing w:line="300" w:lineRule="auto"/>
        <w:jc w:val="center"/>
        <w:rPr>
          <w:rFonts w:hint="eastAsia" w:asciiTheme="minorEastAsia" w:hAnsiTheme="minorEastAsia" w:eastAsiaTheme="minorEastAsia"/>
          <w:bCs/>
          <w:sz w:val="30"/>
          <w:szCs w:val="30"/>
        </w:rPr>
      </w:pPr>
    </w:p>
    <w:tbl>
      <w:tblPr>
        <w:tblStyle w:val="4"/>
        <w:tblW w:w="14672" w:type="dxa"/>
        <w:jc w:val="center"/>
        <w:tblLayout w:type="fixed"/>
        <w:tblCellMar>
          <w:top w:w="0" w:type="dxa"/>
          <w:left w:w="108" w:type="dxa"/>
          <w:bottom w:w="0" w:type="dxa"/>
          <w:right w:w="108" w:type="dxa"/>
        </w:tblCellMar>
      </w:tblPr>
      <w:tblGrid>
        <w:gridCol w:w="800"/>
        <w:gridCol w:w="400"/>
        <w:gridCol w:w="5300"/>
        <w:gridCol w:w="8172"/>
      </w:tblGrid>
      <w:tr w14:paraId="5D1225CC">
        <w:tblPrEx>
          <w:tblCellMar>
            <w:top w:w="0" w:type="dxa"/>
            <w:left w:w="108" w:type="dxa"/>
            <w:bottom w:w="0" w:type="dxa"/>
            <w:right w:w="108" w:type="dxa"/>
          </w:tblCellMar>
        </w:tblPrEx>
        <w:trPr>
          <w:trHeight w:val="64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6D691A1">
            <w:pPr>
              <w:widowControl/>
              <w:jc w:val="center"/>
              <w:rPr>
                <w:rFonts w:ascii="ti" w:hAnsi="ti" w:eastAsia="黑体"/>
                <w:bCs/>
                <w:kern w:val="0"/>
                <w:szCs w:val="21"/>
              </w:rPr>
            </w:pPr>
            <w:r>
              <w:rPr>
                <w:rFonts w:hint="eastAsia" w:ascii="ti" w:hAnsi="ti" w:eastAsia="黑体"/>
                <w:bCs/>
                <w:kern w:val="0"/>
                <w:szCs w:val="21"/>
              </w:rPr>
              <w:t>审核项目</w:t>
            </w:r>
          </w:p>
        </w:tc>
        <w:tc>
          <w:tcPr>
            <w:tcW w:w="5700" w:type="dxa"/>
            <w:gridSpan w:val="2"/>
            <w:tcBorders>
              <w:top w:val="single" w:color="auto" w:sz="4" w:space="0"/>
              <w:left w:val="nil"/>
              <w:bottom w:val="single" w:color="auto" w:sz="4" w:space="0"/>
              <w:right w:val="single" w:color="auto" w:sz="4" w:space="0"/>
            </w:tcBorders>
            <w:noWrap w:val="0"/>
            <w:vAlign w:val="center"/>
          </w:tcPr>
          <w:p w14:paraId="16254AF1">
            <w:pPr>
              <w:widowControl/>
              <w:jc w:val="center"/>
              <w:rPr>
                <w:rFonts w:ascii="ti" w:hAnsi="ti" w:eastAsia="黑体"/>
                <w:bCs/>
                <w:kern w:val="0"/>
                <w:szCs w:val="21"/>
              </w:rPr>
            </w:pPr>
            <w:r>
              <w:rPr>
                <w:rFonts w:hint="eastAsia" w:ascii="ti" w:hAnsi="ti" w:eastAsia="黑体"/>
                <w:bCs/>
                <w:kern w:val="0"/>
                <w:szCs w:val="21"/>
              </w:rPr>
              <w:t>具体情况列举</w:t>
            </w:r>
          </w:p>
        </w:tc>
        <w:tc>
          <w:tcPr>
            <w:tcW w:w="8172" w:type="dxa"/>
            <w:tcBorders>
              <w:top w:val="single" w:color="auto" w:sz="4" w:space="0"/>
              <w:left w:val="nil"/>
              <w:bottom w:val="single" w:color="auto" w:sz="4" w:space="0"/>
              <w:right w:val="single" w:color="auto" w:sz="4" w:space="0"/>
            </w:tcBorders>
            <w:noWrap w:val="0"/>
            <w:vAlign w:val="center"/>
          </w:tcPr>
          <w:p w14:paraId="644EBDA3">
            <w:pPr>
              <w:widowControl/>
              <w:jc w:val="center"/>
              <w:rPr>
                <w:rFonts w:ascii="ti" w:hAnsi="ti" w:eastAsia="黑体"/>
                <w:bCs/>
                <w:kern w:val="0"/>
                <w:szCs w:val="21"/>
              </w:rPr>
            </w:pPr>
            <w:r>
              <w:rPr>
                <w:rFonts w:hint="eastAsia" w:ascii="ti" w:hAnsi="ti" w:eastAsia="黑体"/>
                <w:bCs/>
                <w:kern w:val="0"/>
                <w:szCs w:val="21"/>
              </w:rPr>
              <w:t>处理指引</w:t>
            </w:r>
          </w:p>
        </w:tc>
      </w:tr>
      <w:tr w14:paraId="5F6DCE08">
        <w:tblPrEx>
          <w:tblCellMar>
            <w:top w:w="0" w:type="dxa"/>
            <w:left w:w="108" w:type="dxa"/>
            <w:bottom w:w="0" w:type="dxa"/>
            <w:right w:w="108" w:type="dxa"/>
          </w:tblCellMar>
        </w:tblPrEx>
        <w:trPr>
          <w:trHeight w:val="105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91D2FD3">
            <w:pPr>
              <w:widowControl/>
              <w:jc w:val="center"/>
              <w:rPr>
                <w:rFonts w:ascii="ti" w:hAnsi="ti"/>
                <w:b/>
                <w:bCs/>
                <w:kern w:val="0"/>
                <w:szCs w:val="21"/>
              </w:rPr>
            </w:pPr>
            <w:r>
              <w:rPr>
                <w:rFonts w:hint="eastAsia" w:ascii="ti" w:hAnsi="ti"/>
                <w:b/>
                <w:bCs/>
                <w:kern w:val="0"/>
                <w:szCs w:val="21"/>
              </w:rPr>
              <w:t>学籍</w:t>
            </w:r>
          </w:p>
        </w:tc>
        <w:tc>
          <w:tcPr>
            <w:tcW w:w="400" w:type="dxa"/>
            <w:tcBorders>
              <w:top w:val="single" w:color="auto" w:sz="4" w:space="0"/>
              <w:left w:val="nil"/>
              <w:bottom w:val="single" w:color="auto" w:sz="4" w:space="0"/>
              <w:right w:val="single" w:color="auto" w:sz="4" w:space="0"/>
            </w:tcBorders>
            <w:noWrap w:val="0"/>
            <w:vAlign w:val="center"/>
          </w:tcPr>
          <w:p w14:paraId="5605A740">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noWrap w:val="0"/>
            <w:vAlign w:val="center"/>
          </w:tcPr>
          <w:p w14:paraId="2CCA8579">
            <w:pPr>
              <w:widowControl/>
              <w:rPr>
                <w:rFonts w:ascii="ti" w:hAnsi="ti"/>
                <w:kern w:val="0"/>
                <w:szCs w:val="21"/>
              </w:rPr>
            </w:pPr>
            <w:r>
              <w:rPr>
                <w:rFonts w:hint="eastAsia" w:ascii="ti" w:hAnsi="ti"/>
                <w:kern w:val="0"/>
                <w:szCs w:val="21"/>
              </w:rPr>
              <w:t>随迁子女具有我市三年初中</w:t>
            </w:r>
            <w:bookmarkStart w:id="0" w:name="_GoBack"/>
            <w:bookmarkEnd w:id="0"/>
            <w:r>
              <w:rPr>
                <w:rFonts w:hint="eastAsia" w:ascii="ti" w:hAnsi="ti"/>
                <w:kern w:val="0"/>
                <w:szCs w:val="21"/>
              </w:rPr>
              <w:t>完整学籍</w:t>
            </w:r>
          </w:p>
        </w:tc>
        <w:tc>
          <w:tcPr>
            <w:tcW w:w="8172" w:type="dxa"/>
            <w:tcBorders>
              <w:top w:val="single" w:color="auto" w:sz="4" w:space="0"/>
              <w:left w:val="nil"/>
              <w:bottom w:val="single" w:color="auto" w:sz="4" w:space="0"/>
              <w:right w:val="single" w:color="auto" w:sz="4" w:space="0"/>
            </w:tcBorders>
            <w:noWrap w:val="0"/>
            <w:vAlign w:val="center"/>
          </w:tcPr>
          <w:p w14:paraId="4F8CF49B">
            <w:pPr>
              <w:widowControl/>
              <w:rPr>
                <w:rFonts w:ascii="ti" w:hAnsi="ti"/>
                <w:kern w:val="0"/>
                <w:szCs w:val="21"/>
              </w:rPr>
            </w:pPr>
            <w:r>
              <w:rPr>
                <w:rFonts w:hint="eastAsia" w:ascii="ti" w:hAnsi="ti"/>
                <w:kern w:val="0"/>
                <w:szCs w:val="21"/>
              </w:rPr>
              <w:t>随迁子女是具有我市三年初中完整学籍的应届初中毕业生的予以认定，</w:t>
            </w:r>
            <w:r>
              <w:rPr>
                <w:rFonts w:ascii="ti" w:hAnsi="ti"/>
                <w:kern w:val="0"/>
                <w:szCs w:val="21"/>
              </w:rPr>
              <w:t>否则不予认定</w:t>
            </w:r>
          </w:p>
        </w:tc>
      </w:tr>
      <w:tr w14:paraId="62CCE080">
        <w:tblPrEx>
          <w:tblCellMar>
            <w:top w:w="0" w:type="dxa"/>
            <w:left w:w="108" w:type="dxa"/>
            <w:bottom w:w="0" w:type="dxa"/>
            <w:right w:w="108" w:type="dxa"/>
          </w:tblCellMar>
        </w:tblPrEx>
        <w:trPr>
          <w:trHeight w:val="1035" w:hRule="atLeast"/>
          <w:jc w:val="center"/>
        </w:trPr>
        <w:tc>
          <w:tcPr>
            <w:tcW w:w="800" w:type="dxa"/>
            <w:vMerge w:val="restart"/>
            <w:tcBorders>
              <w:top w:val="single" w:color="auto" w:sz="4" w:space="0"/>
              <w:left w:val="single" w:color="auto" w:sz="4" w:space="0"/>
              <w:right w:val="single" w:color="auto" w:sz="4" w:space="0"/>
            </w:tcBorders>
            <w:noWrap w:val="0"/>
            <w:vAlign w:val="center"/>
          </w:tcPr>
          <w:p w14:paraId="3DA4B825">
            <w:pPr>
              <w:widowControl/>
              <w:jc w:val="center"/>
              <w:rPr>
                <w:rFonts w:ascii="ti" w:hAnsi="ti"/>
                <w:b/>
                <w:bCs/>
                <w:kern w:val="0"/>
                <w:szCs w:val="21"/>
              </w:rPr>
            </w:pPr>
            <w:r>
              <w:rPr>
                <w:rFonts w:hint="eastAsia" w:ascii="ti" w:hAnsi="ti"/>
                <w:b/>
                <w:bCs/>
                <w:kern w:val="0"/>
                <w:szCs w:val="21"/>
              </w:rPr>
              <w:t>居住证明</w:t>
            </w:r>
          </w:p>
        </w:tc>
        <w:tc>
          <w:tcPr>
            <w:tcW w:w="400" w:type="dxa"/>
            <w:tcBorders>
              <w:top w:val="single" w:color="auto" w:sz="4" w:space="0"/>
              <w:left w:val="nil"/>
              <w:bottom w:val="single" w:color="auto" w:sz="4" w:space="0"/>
              <w:right w:val="single" w:color="auto" w:sz="4" w:space="0"/>
            </w:tcBorders>
            <w:noWrap w:val="0"/>
            <w:vAlign w:val="center"/>
          </w:tcPr>
          <w:p w14:paraId="145A2F3E">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noWrap w:val="0"/>
            <w:vAlign w:val="center"/>
          </w:tcPr>
          <w:p w14:paraId="34008511">
            <w:pPr>
              <w:widowControl/>
              <w:rPr>
                <w:rFonts w:hint="eastAsia" w:ascii="ti" w:hAnsi="ti"/>
                <w:kern w:val="0"/>
                <w:szCs w:val="21"/>
              </w:rPr>
            </w:pPr>
            <w:r>
              <w:rPr>
                <w:rFonts w:hint="eastAsia" w:ascii="ti" w:hAnsi="ti"/>
                <w:kern w:val="0"/>
                <w:szCs w:val="21"/>
              </w:rPr>
              <w:t>随迁子女</w:t>
            </w:r>
            <w:r>
              <w:rPr>
                <w:rFonts w:ascii="ti" w:hAnsi="ti"/>
                <w:kern w:val="0"/>
                <w:szCs w:val="21"/>
              </w:rPr>
              <w:t>父母</w:t>
            </w:r>
            <w:r>
              <w:rPr>
                <w:rFonts w:hint="eastAsia" w:ascii="ti" w:hAnsi="ti"/>
                <w:kern w:val="0"/>
                <w:szCs w:val="21"/>
              </w:rPr>
              <w:t>一方或其他监护人持有</w:t>
            </w:r>
            <w:r>
              <w:rPr>
                <w:rFonts w:hint="eastAsia" w:ascii="ti" w:hAnsi="ti"/>
                <w:b/>
                <w:bCs/>
                <w:kern w:val="0"/>
                <w:szCs w:val="21"/>
                <w:u w:val="single"/>
              </w:rPr>
              <w:t>在广州市办理</w:t>
            </w:r>
            <w:r>
              <w:rPr>
                <w:rFonts w:hint="eastAsia" w:ascii="ti" w:hAnsi="ti"/>
                <w:kern w:val="0"/>
                <w:szCs w:val="21"/>
              </w:rPr>
              <w:t>且在有效期内的《广东省居住证》或《港澳居民居住证》或《外国人永久居留身份证》</w:t>
            </w:r>
          </w:p>
        </w:tc>
        <w:tc>
          <w:tcPr>
            <w:tcW w:w="8172" w:type="dxa"/>
            <w:tcBorders>
              <w:top w:val="single" w:color="auto" w:sz="4" w:space="0"/>
              <w:left w:val="nil"/>
              <w:bottom w:val="single" w:color="auto" w:sz="4" w:space="0"/>
              <w:right w:val="single" w:color="auto" w:sz="4" w:space="0"/>
            </w:tcBorders>
            <w:noWrap w:val="0"/>
            <w:vAlign w:val="center"/>
          </w:tcPr>
          <w:p w14:paraId="1CAEB57F">
            <w:pPr>
              <w:widowControl/>
              <w:rPr>
                <w:rFonts w:hint="eastAsia" w:ascii="ti" w:hAnsi="ti"/>
                <w:kern w:val="0"/>
                <w:szCs w:val="21"/>
                <w:highlight w:val="none"/>
              </w:rPr>
            </w:pPr>
            <w:r>
              <w:rPr>
                <w:rFonts w:hint="eastAsia" w:ascii="ti" w:hAnsi="ti"/>
                <w:kern w:val="0"/>
                <w:szCs w:val="21"/>
                <w:highlight w:val="none"/>
              </w:rPr>
              <w:t>随迁子女</w:t>
            </w:r>
            <w:r>
              <w:rPr>
                <w:rFonts w:ascii="ti" w:hAnsi="ti"/>
                <w:kern w:val="0"/>
                <w:szCs w:val="21"/>
                <w:highlight w:val="none"/>
              </w:rPr>
              <w:t>父母</w:t>
            </w:r>
            <w:r>
              <w:rPr>
                <w:rFonts w:hint="eastAsia" w:ascii="ti" w:hAnsi="ti"/>
                <w:kern w:val="0"/>
                <w:szCs w:val="21"/>
                <w:highlight w:val="none"/>
              </w:rPr>
              <w:t>一方或其他监护人持有</w:t>
            </w:r>
            <w:r>
              <w:rPr>
                <w:rFonts w:ascii="ti" w:hAnsi="ti"/>
                <w:kern w:val="0"/>
                <w:szCs w:val="21"/>
                <w:highlight w:val="none"/>
              </w:rPr>
              <w:t>的</w:t>
            </w:r>
            <w:r>
              <w:rPr>
                <w:rFonts w:hint="eastAsia" w:ascii="ti" w:hAnsi="ti"/>
                <w:kern w:val="0"/>
                <w:szCs w:val="21"/>
                <w:highlight w:val="none"/>
              </w:rPr>
              <w:t>《广东省居住证》或《港澳居民居住证》或《外国人永久居留身份证》是在广州市办理且</w:t>
            </w:r>
            <w:r>
              <w:rPr>
                <w:rFonts w:hint="eastAsia" w:ascii="ti" w:hAnsi="ti"/>
                <w:kern w:val="0"/>
                <w:szCs w:val="21"/>
                <w:highlight w:val="none"/>
                <w:lang w:val="en-US" w:eastAsia="zh-CN"/>
              </w:rPr>
              <w:t>参加中考当年</w:t>
            </w:r>
            <w:r>
              <w:rPr>
                <w:rFonts w:hint="eastAsia" w:ascii="ti" w:hAnsi="ti"/>
                <w:kern w:val="0"/>
                <w:szCs w:val="21"/>
                <w:highlight w:val="none"/>
              </w:rPr>
              <w:t>4月30日仍有效的予以认定，</w:t>
            </w:r>
            <w:r>
              <w:rPr>
                <w:rFonts w:ascii="ti" w:hAnsi="ti"/>
                <w:kern w:val="0"/>
                <w:szCs w:val="21"/>
                <w:highlight w:val="none"/>
              </w:rPr>
              <w:t>否则不予认定</w:t>
            </w:r>
          </w:p>
        </w:tc>
      </w:tr>
      <w:tr w14:paraId="00ACB094">
        <w:tblPrEx>
          <w:tblCellMar>
            <w:top w:w="0" w:type="dxa"/>
            <w:left w:w="108" w:type="dxa"/>
            <w:bottom w:w="0" w:type="dxa"/>
            <w:right w:w="108" w:type="dxa"/>
          </w:tblCellMar>
        </w:tblPrEx>
        <w:trPr>
          <w:trHeight w:val="1035" w:hRule="atLeast"/>
          <w:jc w:val="center"/>
        </w:trPr>
        <w:tc>
          <w:tcPr>
            <w:tcW w:w="800" w:type="dxa"/>
            <w:vMerge w:val="continue"/>
            <w:tcBorders>
              <w:top w:val="single" w:color="auto" w:sz="4" w:space="0"/>
              <w:left w:val="single" w:color="auto" w:sz="4" w:space="0"/>
              <w:right w:val="single" w:color="auto" w:sz="4" w:space="0"/>
            </w:tcBorders>
            <w:noWrap w:val="0"/>
            <w:vAlign w:val="center"/>
          </w:tcPr>
          <w:p w14:paraId="015D1DC0">
            <w:pPr>
              <w:widowControl/>
              <w:jc w:val="center"/>
              <w:rPr>
                <w:rFonts w:hint="eastAsia" w:ascii="ti" w:hAnsi="ti"/>
                <w:b/>
                <w:bCs/>
                <w:kern w:val="0"/>
                <w:szCs w:val="21"/>
              </w:rPr>
            </w:pPr>
          </w:p>
        </w:tc>
        <w:tc>
          <w:tcPr>
            <w:tcW w:w="400" w:type="dxa"/>
            <w:tcBorders>
              <w:top w:val="single" w:color="auto" w:sz="4" w:space="0"/>
              <w:left w:val="single" w:color="auto" w:sz="4" w:space="0"/>
              <w:bottom w:val="single" w:color="auto" w:sz="4" w:space="0"/>
              <w:right w:val="single" w:color="auto" w:sz="4" w:space="0"/>
            </w:tcBorders>
            <w:noWrap w:val="0"/>
            <w:vAlign w:val="center"/>
          </w:tcPr>
          <w:p w14:paraId="549C5AE7">
            <w:pPr>
              <w:widowControl/>
              <w:jc w:val="center"/>
              <w:rPr>
                <w:rFonts w:hint="eastAsia" w:ascii="ti" w:hAnsi="ti"/>
                <w:b/>
                <w:bCs/>
                <w:kern w:val="0"/>
                <w:szCs w:val="21"/>
              </w:rPr>
            </w:pPr>
            <w:r>
              <w:rPr>
                <w:rFonts w:hint="eastAsia" w:ascii="ti" w:hAnsi="ti"/>
                <w:b/>
                <w:bCs/>
                <w:kern w:val="0"/>
                <w:szCs w:val="21"/>
              </w:rPr>
              <w:t>2</w:t>
            </w:r>
          </w:p>
        </w:tc>
        <w:tc>
          <w:tcPr>
            <w:tcW w:w="5300" w:type="dxa"/>
            <w:tcBorders>
              <w:top w:val="single" w:color="auto" w:sz="4" w:space="0"/>
              <w:left w:val="single" w:color="auto" w:sz="4" w:space="0"/>
              <w:bottom w:val="single" w:color="auto" w:sz="4" w:space="0"/>
              <w:right w:val="single" w:color="auto" w:sz="4" w:space="0"/>
            </w:tcBorders>
            <w:noWrap w:val="0"/>
            <w:vAlign w:val="center"/>
          </w:tcPr>
          <w:p w14:paraId="63AFC5A6">
            <w:pPr>
              <w:widowControl/>
              <w:rPr>
                <w:rFonts w:hint="eastAsia" w:ascii="ti" w:hAnsi="ti"/>
                <w:kern w:val="0"/>
                <w:szCs w:val="21"/>
              </w:rPr>
            </w:pPr>
            <w:r>
              <w:rPr>
                <w:rFonts w:hint="eastAsia" w:ascii="ti" w:hAnsi="ti"/>
                <w:kern w:val="0"/>
                <w:szCs w:val="21"/>
              </w:rPr>
              <w:t>随迁子女本人持有在</w:t>
            </w:r>
            <w:r>
              <w:rPr>
                <w:rFonts w:hint="eastAsia" w:ascii="ti" w:hAnsi="ti"/>
                <w:b/>
                <w:bCs/>
                <w:kern w:val="0"/>
                <w:szCs w:val="21"/>
                <w:u w:val="single"/>
              </w:rPr>
              <w:t>广州市办理</w:t>
            </w:r>
            <w:r>
              <w:rPr>
                <w:rFonts w:hint="eastAsia" w:ascii="ti" w:hAnsi="ti"/>
                <w:kern w:val="0"/>
                <w:szCs w:val="21"/>
              </w:rPr>
              <w:t>且在有效期内的《港澳居民居住证》或《外国人永久居留身份证》</w:t>
            </w:r>
          </w:p>
        </w:tc>
        <w:tc>
          <w:tcPr>
            <w:tcW w:w="8172" w:type="dxa"/>
            <w:tcBorders>
              <w:top w:val="single" w:color="auto" w:sz="4" w:space="0"/>
              <w:left w:val="single" w:color="auto" w:sz="4" w:space="0"/>
              <w:bottom w:val="single" w:color="auto" w:sz="4" w:space="0"/>
              <w:right w:val="single" w:color="auto" w:sz="4" w:space="0"/>
            </w:tcBorders>
            <w:noWrap w:val="0"/>
            <w:vAlign w:val="center"/>
          </w:tcPr>
          <w:p w14:paraId="349160F6">
            <w:pPr>
              <w:widowControl/>
              <w:rPr>
                <w:rFonts w:hint="eastAsia" w:ascii="ti" w:hAnsi="ti"/>
                <w:kern w:val="0"/>
                <w:szCs w:val="21"/>
                <w:highlight w:val="none"/>
              </w:rPr>
            </w:pPr>
            <w:r>
              <w:rPr>
                <w:rFonts w:hint="eastAsia" w:ascii="ti" w:hAnsi="ti"/>
                <w:kern w:val="0"/>
                <w:szCs w:val="21"/>
                <w:highlight w:val="none"/>
              </w:rPr>
              <w:t>随迁子女本人持有的《港澳居民居住证》或《外国人永久居留身份证》是在广州市办理且至</w:t>
            </w:r>
            <w:r>
              <w:rPr>
                <w:rFonts w:hint="eastAsia" w:ascii="ti" w:hAnsi="ti"/>
                <w:kern w:val="0"/>
                <w:szCs w:val="21"/>
                <w:highlight w:val="none"/>
                <w:lang w:val="en-US" w:eastAsia="zh-CN"/>
              </w:rPr>
              <w:t>参加中考当年</w:t>
            </w:r>
            <w:r>
              <w:rPr>
                <w:rFonts w:hint="eastAsia" w:ascii="ti" w:hAnsi="ti"/>
                <w:kern w:val="0"/>
                <w:szCs w:val="21"/>
                <w:highlight w:val="none"/>
              </w:rPr>
              <w:t>4月30日仍有效的予以认定，</w:t>
            </w:r>
            <w:r>
              <w:rPr>
                <w:rFonts w:ascii="ti" w:hAnsi="ti"/>
                <w:kern w:val="0"/>
                <w:szCs w:val="21"/>
                <w:highlight w:val="none"/>
              </w:rPr>
              <w:t>否则不予认定</w:t>
            </w:r>
          </w:p>
        </w:tc>
      </w:tr>
      <w:tr w14:paraId="34C7C6DE">
        <w:tblPrEx>
          <w:tblCellMar>
            <w:top w:w="0" w:type="dxa"/>
            <w:left w:w="108" w:type="dxa"/>
            <w:bottom w:w="0" w:type="dxa"/>
            <w:right w:w="108" w:type="dxa"/>
          </w:tblCellMar>
        </w:tblPrEx>
        <w:trPr>
          <w:trHeight w:val="8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7B60771">
            <w:pPr>
              <w:widowControl/>
              <w:jc w:val="center"/>
              <w:rPr>
                <w:rFonts w:ascii="ti" w:hAnsi="ti"/>
                <w:b/>
                <w:bCs/>
                <w:kern w:val="0"/>
                <w:szCs w:val="21"/>
              </w:rPr>
            </w:pPr>
            <w:r>
              <w:rPr>
                <w:rFonts w:hint="eastAsia" w:ascii="ti" w:hAnsi="ti"/>
                <w:b/>
                <w:bCs/>
                <w:kern w:val="0"/>
                <w:szCs w:val="21"/>
              </w:rPr>
              <w:t>其他情况</w:t>
            </w:r>
          </w:p>
        </w:tc>
        <w:tc>
          <w:tcPr>
            <w:tcW w:w="400" w:type="dxa"/>
            <w:tcBorders>
              <w:top w:val="single" w:color="auto" w:sz="4" w:space="0"/>
              <w:left w:val="nil"/>
              <w:bottom w:val="single" w:color="auto" w:sz="4" w:space="0"/>
              <w:right w:val="single" w:color="auto" w:sz="4" w:space="0"/>
            </w:tcBorders>
            <w:noWrap w:val="0"/>
            <w:vAlign w:val="center"/>
          </w:tcPr>
          <w:p w14:paraId="02137272">
            <w:pPr>
              <w:widowControl/>
              <w:jc w:val="center"/>
              <w:rPr>
                <w:rFonts w:ascii="ti" w:hAnsi="ti"/>
                <w:b/>
                <w:bCs/>
                <w:kern w:val="0"/>
                <w:szCs w:val="21"/>
              </w:rPr>
            </w:pPr>
            <w:r>
              <w:rPr>
                <w:rFonts w:hint="eastAsia" w:ascii="ti" w:hAnsi="ti"/>
                <w:b/>
                <w:bCs/>
                <w:kern w:val="0"/>
                <w:szCs w:val="21"/>
              </w:rPr>
              <w:t>1</w:t>
            </w:r>
          </w:p>
        </w:tc>
        <w:tc>
          <w:tcPr>
            <w:tcW w:w="5300" w:type="dxa"/>
            <w:tcBorders>
              <w:top w:val="single" w:color="auto" w:sz="4" w:space="0"/>
              <w:left w:val="nil"/>
              <w:bottom w:val="single" w:color="auto" w:sz="4" w:space="0"/>
              <w:right w:val="single" w:color="auto" w:sz="4" w:space="0"/>
            </w:tcBorders>
            <w:noWrap w:val="0"/>
            <w:vAlign w:val="center"/>
          </w:tcPr>
          <w:p w14:paraId="47991B4B">
            <w:pPr>
              <w:widowControl/>
              <w:rPr>
                <w:rFonts w:hint="eastAsia" w:ascii="ti" w:hAnsi="ti"/>
                <w:kern w:val="0"/>
                <w:szCs w:val="21"/>
              </w:rPr>
            </w:pPr>
            <w:r>
              <w:rPr>
                <w:rFonts w:hint="eastAsia" w:ascii="ti" w:hAnsi="ti"/>
                <w:kern w:val="0"/>
                <w:szCs w:val="21"/>
              </w:rPr>
              <w:t>随迁子女的父母信息与</w:t>
            </w:r>
            <w:r>
              <w:rPr>
                <w:rFonts w:ascii="ti" w:hAnsi="ti"/>
                <w:kern w:val="0"/>
                <w:szCs w:val="21"/>
              </w:rPr>
              <w:t>学籍系统登记的不一致</w:t>
            </w:r>
          </w:p>
        </w:tc>
        <w:tc>
          <w:tcPr>
            <w:tcW w:w="8172" w:type="dxa"/>
            <w:tcBorders>
              <w:top w:val="single" w:color="auto" w:sz="4" w:space="0"/>
              <w:left w:val="nil"/>
              <w:bottom w:val="single" w:color="auto" w:sz="4" w:space="0"/>
              <w:right w:val="single" w:color="auto" w:sz="4" w:space="0"/>
            </w:tcBorders>
            <w:noWrap w:val="0"/>
            <w:vAlign w:val="center"/>
          </w:tcPr>
          <w:p w14:paraId="4871F847">
            <w:pPr>
              <w:widowControl/>
              <w:rPr>
                <w:rFonts w:hint="eastAsia" w:ascii="ti" w:hAnsi="ti"/>
                <w:kern w:val="0"/>
                <w:szCs w:val="21"/>
              </w:rPr>
            </w:pPr>
            <w:r>
              <w:rPr>
                <w:rFonts w:hint="eastAsia" w:ascii="ti" w:hAnsi="ti"/>
                <w:kern w:val="0"/>
                <w:szCs w:val="21"/>
              </w:rPr>
              <w:t>提供与父母（或一方）同户的户口簿（须以父母或考生为户主）或《出生医学证明》或监护人变更的法院判决书等的予以认定，否则不予认定</w:t>
            </w:r>
          </w:p>
        </w:tc>
      </w:tr>
    </w:tbl>
    <w:p w14:paraId="7A011C02">
      <w:pPr>
        <w:adjustRightInd w:val="0"/>
        <w:snapToGrid w:val="0"/>
        <w:ind w:firstLine="480" w:firstLineChars="200"/>
        <w:rPr>
          <w:rFonts w:hint="eastAsia" w:cs="黑体" w:asciiTheme="minorEastAsia" w:hAnsiTheme="minorEastAsia" w:eastAsiaTheme="minorEastAsia"/>
          <w:kern w:val="0"/>
          <w:sz w:val="24"/>
          <w:lang w:val="en-US" w:eastAsia="zh-CN"/>
        </w:rPr>
      </w:pPr>
    </w:p>
    <w:p w14:paraId="607B84FF">
      <w:pPr>
        <w:adjustRightInd w:val="0"/>
        <w:snapToGrid w:val="0"/>
        <w:ind w:firstLine="480" w:firstLineChars="200"/>
        <w:rPr>
          <w:rFonts w:hint="default" w:cs="黑体" w:asciiTheme="minorEastAsia" w:hAnsiTheme="minorEastAsia" w:eastAsiaTheme="minorEastAsia"/>
          <w:kern w:val="0"/>
          <w:sz w:val="24"/>
          <w:lang w:val="en-US" w:eastAsia="zh-CN"/>
        </w:rPr>
      </w:pPr>
      <w:r>
        <w:rPr>
          <w:rFonts w:hint="eastAsia" w:cs="黑体" w:asciiTheme="minorEastAsia" w:hAnsiTheme="minorEastAsia" w:eastAsiaTheme="minorEastAsia"/>
          <w:kern w:val="0"/>
          <w:sz w:val="24"/>
          <w:lang w:val="en-US" w:eastAsia="zh-CN"/>
        </w:rPr>
        <w:t>相关中考政策可查看广州招考网（https://gzzk.gz.gov.cn/）</w:t>
      </w:r>
    </w:p>
    <w:p w14:paraId="46B9213D">
      <w:pPr>
        <w:adjustRightInd w:val="0"/>
        <w:snapToGrid w:val="0"/>
        <w:ind w:firstLine="480" w:firstLineChars="200"/>
        <w:rPr>
          <w:rFonts w:hint="eastAsia" w:cs="黑体" w:asciiTheme="minorEastAsia" w:hAnsiTheme="minorEastAsia" w:eastAsiaTheme="minorEastAsia"/>
          <w:kern w:val="0"/>
          <w:sz w:val="24"/>
        </w:rPr>
      </w:pPr>
    </w:p>
    <w:p w14:paraId="3A7CEE89">
      <w:pPr>
        <w:adjustRightInd w:val="0"/>
        <w:snapToGrid w:val="0"/>
        <w:ind w:firstLine="480" w:firstLineChars="200"/>
        <w:rPr>
          <w:rFonts w:hint="eastAsia" w:cs="黑体" w:asciiTheme="minorEastAsia" w:hAnsiTheme="minorEastAsia" w:eastAsiaTheme="minorEastAsia"/>
          <w:kern w:val="0"/>
          <w:sz w:val="24"/>
        </w:rPr>
      </w:pPr>
    </w:p>
    <w:p w14:paraId="54276CEF">
      <w:pPr>
        <w:adjustRightInd w:val="0"/>
        <w:snapToGrid w:val="0"/>
        <w:ind w:firstLine="480" w:firstLineChars="200"/>
        <w:rPr>
          <w:rFonts w:hint="eastAsia" w:cs="黑体" w:asciiTheme="minorEastAsia" w:hAnsiTheme="minorEastAsia" w:eastAsiaTheme="minorEastAsia"/>
          <w:kern w:val="0"/>
          <w:sz w:val="24"/>
        </w:rPr>
      </w:pPr>
    </w:p>
    <w:p w14:paraId="33881BF3">
      <w:pPr>
        <w:adjustRightInd w:val="0"/>
        <w:snapToGrid w:val="0"/>
        <w:ind w:firstLine="480" w:firstLineChars="200"/>
        <w:rPr>
          <w:rFonts w:hint="eastAsia" w:cs="黑体" w:asciiTheme="minorEastAsia" w:hAnsiTheme="minorEastAsia" w:eastAsiaTheme="minorEastAsia"/>
          <w:kern w:val="0"/>
          <w:sz w:val="24"/>
        </w:rPr>
      </w:pPr>
    </w:p>
    <w:p w14:paraId="21C43C05">
      <w:pPr>
        <w:adjustRightInd w:val="0"/>
        <w:snapToGrid w:val="0"/>
        <w:ind w:firstLine="480" w:firstLineChars="200"/>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我已阅悉并知晓广州市异地中考的相关政策。</w:t>
      </w:r>
    </w:p>
    <w:p w14:paraId="7DA30810">
      <w:pPr>
        <w:adjustRightInd w:val="0"/>
        <w:snapToGrid w:val="0"/>
        <w:ind w:firstLine="480" w:firstLineChars="200"/>
        <w:rPr>
          <w:rFonts w:cs="黑体" w:asciiTheme="minorEastAsia" w:hAnsiTheme="minorEastAsia" w:eastAsiaTheme="minorEastAsia"/>
          <w:kern w:val="0"/>
          <w:sz w:val="24"/>
        </w:rPr>
      </w:pPr>
    </w:p>
    <w:p w14:paraId="54FC7181">
      <w:pPr>
        <w:adjustRightInd w:val="0"/>
        <w:snapToGrid w:val="0"/>
        <w:ind w:firstLine="480" w:firstLineChars="200"/>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 xml:space="preserve">            学生姓名：                    家长姓名：                      家长身份证号：</w:t>
      </w:r>
    </w:p>
    <w:p w14:paraId="1055C901">
      <w:pPr>
        <w:adjustRightInd w:val="0"/>
        <w:snapToGrid w:val="0"/>
        <w:ind w:firstLine="480" w:firstLineChars="200"/>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 xml:space="preserve">                                                                            </w:t>
      </w:r>
    </w:p>
    <w:p w14:paraId="3F2CFD5A">
      <w:pPr>
        <w:adjustRightInd w:val="0"/>
        <w:snapToGrid w:val="0"/>
        <w:ind w:firstLine="10560" w:firstLineChars="4400"/>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 xml:space="preserve">     年    月    日</w:t>
      </w:r>
    </w:p>
    <w:p w14:paraId="7C1C4056">
      <w:pPr>
        <w:rPr>
          <w:rFonts w:ascii="黑体" w:hAnsi="黑体" w:eastAsia="黑体" w:cs="黑体"/>
          <w:kern w:val="0"/>
          <w:szCs w:val="21"/>
        </w:rPr>
      </w:pPr>
    </w:p>
    <w:p w14:paraId="5A1FCB87">
      <w:pPr>
        <w:rPr>
          <w:rFonts w:ascii="黑体" w:hAnsi="黑体" w:eastAsia="黑体" w:cs="黑体"/>
          <w:kern w:val="0"/>
          <w:szCs w:val="21"/>
        </w:rPr>
      </w:pPr>
    </w:p>
    <w:p w14:paraId="691EC089">
      <w:pPr>
        <w:jc w:val="center"/>
        <w:rPr>
          <w:sz w:val="28"/>
          <w:szCs w:val="28"/>
        </w:rPr>
      </w:pPr>
      <w:r>
        <w:rPr>
          <w:rFonts w:hint="eastAsia" w:ascii="黑体" w:hAnsi="黑体" w:eastAsia="黑体" w:cs="黑体"/>
          <w:kern w:val="0"/>
          <w:sz w:val="28"/>
          <w:szCs w:val="28"/>
        </w:rPr>
        <w:t>（此表一式两份，一份由家长保留，一份由学校留存。）</w:t>
      </w:r>
    </w:p>
    <w:sectPr>
      <w:pgSz w:w="16838" w:h="11906" w:orient="landscape"/>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52899"/>
    <w:rsid w:val="000A2568"/>
    <w:rsid w:val="00170FFC"/>
    <w:rsid w:val="00352899"/>
    <w:rsid w:val="003C2619"/>
    <w:rsid w:val="006002F4"/>
    <w:rsid w:val="006C510F"/>
    <w:rsid w:val="00873048"/>
    <w:rsid w:val="00AB2BB3"/>
    <w:rsid w:val="00AE3FE0"/>
    <w:rsid w:val="00BD008B"/>
    <w:rsid w:val="00BE05D6"/>
    <w:rsid w:val="00CC10ED"/>
    <w:rsid w:val="00E72AD5"/>
    <w:rsid w:val="00EC0F07"/>
    <w:rsid w:val="00EF4217"/>
    <w:rsid w:val="00FE2B72"/>
    <w:rsid w:val="00FE54C2"/>
    <w:rsid w:val="043839F9"/>
    <w:rsid w:val="04B92978"/>
    <w:rsid w:val="06A22453"/>
    <w:rsid w:val="2C8A6E0A"/>
    <w:rsid w:val="3D7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491</Words>
  <Characters>499</Characters>
  <Lines>13</Lines>
  <Paragraphs>3</Paragraphs>
  <TotalTime>11</TotalTime>
  <ScaleCrop>false</ScaleCrop>
  <LinksUpToDate>false</LinksUpToDate>
  <CharactersWithSpaces>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2017-09-13T02:18:00Z</dcterms:created>
  <dc:creator>junjing</dc:creator>
  <cp:lastModifiedBy>Alex</cp:lastModifiedBy>
  <cp:lastPrinted>2017-09-13T02:30:00Z</cp:lastPrinted>
  <dcterms:modified xsi:type="dcterms:W3CDTF">2025-06-17T07:00:22Z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eyJoZGlkIjoiMGIwNjVkOGZhYzEyZmVmYjAwMTdlNDMxZTkyMmFkMjAiLCJ1c2VySWQiOiI0MjI5NDY1OTgifQ==</vt:lpwstr>
  </property>
  <property fmtid="{D5CDD505-2E9C-101B-9397-08002B2CF9AE}" pid="4" name="ICV">
    <vt:lpwstr>56EC3EAAF3234C269A6AF75E2D873846_12</vt:lpwstr>
  </property>
</Properties>
</file>